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39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5"/>
        <w:gridCol w:w="9481"/>
        <w:gridCol w:w="3601"/>
      </w:tblGrid>
      <w:tr w14:paraId="60501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0" w:type="auto"/>
            <w:gridSpan w:val="3"/>
            <w:tcBorders>
              <w:top w:val="nil"/>
              <w:left w:val="nil"/>
              <w:bottom w:val="nil"/>
              <w:right w:val="nil"/>
            </w:tcBorders>
          </w:tcPr>
          <w:p w14:paraId="0EADD38C">
            <w:pPr>
              <w:spacing w:line="240" w:lineRule="auto"/>
              <w:jc w:val="both"/>
              <w:rPr>
                <w:b/>
                <w:sz w:val="32"/>
                <w:szCs w:val="32"/>
              </w:rPr>
            </w:pPr>
          </w:p>
        </w:tc>
      </w:tr>
      <w:tr w14:paraId="54F052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13917" w:type="dxa"/>
            <w:gridSpan w:val="3"/>
            <w:tcBorders>
              <w:top w:val="nil"/>
              <w:left w:val="nil"/>
              <w:bottom w:val="single" w:color="000000" w:sz="4" w:space="0"/>
              <w:right w:val="nil"/>
            </w:tcBorders>
          </w:tcPr>
          <w:p w14:paraId="36850C2F">
            <w:pPr>
              <w:spacing w:line="240" w:lineRule="auto"/>
              <w:jc w:val="center"/>
              <w:rPr>
                <w:rFonts w:ascii="仿宋" w:eastAsia="仿宋"/>
                <w:b/>
                <w:sz w:val="28"/>
                <w:szCs w:val="28"/>
              </w:rPr>
            </w:pPr>
            <w:bookmarkStart w:id="0" w:name="_GoBack"/>
            <w:bookmarkEnd w:id="0"/>
            <w:r>
              <w:rPr>
                <w:rFonts w:hint="eastAsia"/>
                <w:b/>
                <w:sz w:val="28"/>
                <w:szCs w:val="28"/>
              </w:rPr>
              <w:t>商转公贷款签约银行一览表（新增）</w:t>
            </w:r>
          </w:p>
        </w:tc>
      </w:tr>
      <w:tr w14:paraId="21A07B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835" w:type="dxa"/>
            <w:tcBorders>
              <w:top w:val="single" w:color="000000" w:sz="4" w:space="0"/>
            </w:tcBorders>
          </w:tcPr>
          <w:p w14:paraId="076000CD">
            <w:pPr>
              <w:spacing w:line="240" w:lineRule="auto"/>
              <w:jc w:val="center"/>
              <w:rPr>
                <w:rFonts w:ascii="仿宋" w:eastAsia="仿宋"/>
                <w:b/>
                <w:sz w:val="28"/>
                <w:szCs w:val="28"/>
              </w:rPr>
            </w:pPr>
            <w:r>
              <w:rPr>
                <w:rFonts w:hint="eastAsia" w:ascii="仿宋" w:eastAsia="仿宋"/>
                <w:b/>
                <w:sz w:val="28"/>
                <w:szCs w:val="28"/>
              </w:rPr>
              <w:t>序号</w:t>
            </w:r>
          </w:p>
        </w:tc>
        <w:tc>
          <w:tcPr>
            <w:tcW w:w="9481" w:type="dxa"/>
            <w:tcBorders>
              <w:top w:val="single" w:color="000000" w:sz="4" w:space="0"/>
            </w:tcBorders>
          </w:tcPr>
          <w:p w14:paraId="2038BF32">
            <w:pPr>
              <w:spacing w:line="240" w:lineRule="auto"/>
              <w:jc w:val="center"/>
              <w:rPr>
                <w:rFonts w:ascii="仿宋" w:eastAsia="仿宋"/>
                <w:b/>
                <w:sz w:val="28"/>
                <w:szCs w:val="28"/>
              </w:rPr>
            </w:pPr>
            <w:r>
              <w:rPr>
                <w:rFonts w:hint="eastAsia" w:ascii="仿宋" w:eastAsia="仿宋"/>
                <w:b/>
                <w:sz w:val="28"/>
                <w:szCs w:val="28"/>
              </w:rPr>
              <w:t>签约银行与业务网点地址</w:t>
            </w:r>
          </w:p>
        </w:tc>
        <w:tc>
          <w:tcPr>
            <w:tcW w:w="3601" w:type="dxa"/>
            <w:tcBorders>
              <w:top w:val="single" w:color="000000" w:sz="4" w:space="0"/>
            </w:tcBorders>
          </w:tcPr>
          <w:p w14:paraId="42EC7A12">
            <w:pPr>
              <w:spacing w:line="240" w:lineRule="auto"/>
              <w:jc w:val="center"/>
              <w:rPr>
                <w:rFonts w:ascii="仿宋" w:eastAsia="仿宋"/>
                <w:b/>
                <w:sz w:val="28"/>
                <w:szCs w:val="28"/>
              </w:rPr>
            </w:pPr>
            <w:r>
              <w:rPr>
                <w:rFonts w:hint="eastAsia" w:ascii="仿宋" w:eastAsia="仿宋"/>
                <w:b/>
                <w:sz w:val="28"/>
                <w:szCs w:val="28"/>
              </w:rPr>
              <w:t>房屋所在行政区</w:t>
            </w:r>
          </w:p>
        </w:tc>
      </w:tr>
      <w:tr w14:paraId="47E7C8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835" w:type="dxa"/>
          </w:tcPr>
          <w:p w14:paraId="4197D26E">
            <w:pPr>
              <w:spacing w:line="240" w:lineRule="auto"/>
              <w:jc w:val="center"/>
              <w:rPr>
                <w:rFonts w:hint="default" w:ascii="仿宋" w:eastAsia="仿宋"/>
                <w:sz w:val="28"/>
                <w:szCs w:val="28"/>
              </w:rPr>
            </w:pPr>
            <w:r>
              <w:rPr>
                <w:rFonts w:hint="default" w:ascii="仿宋" w:eastAsia="仿宋"/>
                <w:sz w:val="28"/>
                <w:szCs w:val="28"/>
              </w:rPr>
              <w:t>1</w:t>
            </w:r>
          </w:p>
        </w:tc>
        <w:tc>
          <w:tcPr>
            <w:tcW w:w="9481" w:type="dxa"/>
          </w:tcPr>
          <w:p w14:paraId="0F6F12E8">
            <w:pPr>
              <w:spacing w:line="240" w:lineRule="auto"/>
              <w:rPr>
                <w:rFonts w:hint="eastAsia" w:ascii="仿宋" w:eastAsia="仿宋"/>
                <w:sz w:val="28"/>
                <w:szCs w:val="28"/>
              </w:rPr>
            </w:pPr>
            <w:r>
              <w:rPr>
                <w:rFonts w:hint="eastAsia" w:ascii="仿宋" w:eastAsia="仿宋"/>
                <w:sz w:val="28"/>
                <w:szCs w:val="28"/>
              </w:rPr>
              <w:t>中国建设银行股份有限公司郑州金水支行（二七路支行个贷中心），郑州市北二七路200号</w:t>
            </w:r>
          </w:p>
        </w:tc>
        <w:tc>
          <w:tcPr>
            <w:tcW w:w="3601" w:type="dxa"/>
          </w:tcPr>
          <w:p w14:paraId="21E3A228">
            <w:pPr>
              <w:spacing w:line="240" w:lineRule="auto"/>
              <w:jc w:val="center"/>
              <w:rPr>
                <w:rFonts w:hint="eastAsia" w:ascii="仿宋" w:eastAsia="仿宋"/>
                <w:sz w:val="28"/>
                <w:szCs w:val="28"/>
              </w:rPr>
            </w:pPr>
            <w:r>
              <w:rPr>
                <w:rFonts w:hint="eastAsia" w:ascii="仿宋" w:eastAsia="仿宋"/>
                <w:sz w:val="28"/>
                <w:szCs w:val="28"/>
              </w:rPr>
              <w:t>郑州市主城区</w:t>
            </w:r>
          </w:p>
        </w:tc>
      </w:tr>
      <w:tr w14:paraId="56182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835" w:type="dxa"/>
          </w:tcPr>
          <w:p w14:paraId="349268AC">
            <w:pPr>
              <w:spacing w:line="240" w:lineRule="auto"/>
              <w:jc w:val="center"/>
              <w:rPr>
                <w:rFonts w:hint="default" w:ascii="仿宋" w:eastAsia="仿宋"/>
                <w:sz w:val="28"/>
                <w:szCs w:val="28"/>
              </w:rPr>
            </w:pPr>
            <w:r>
              <w:rPr>
                <w:rFonts w:hint="default" w:ascii="仿宋" w:eastAsia="仿宋"/>
                <w:sz w:val="28"/>
                <w:szCs w:val="28"/>
              </w:rPr>
              <w:t>2</w:t>
            </w:r>
          </w:p>
        </w:tc>
        <w:tc>
          <w:tcPr>
            <w:tcW w:w="9481" w:type="dxa"/>
          </w:tcPr>
          <w:p w14:paraId="7214FEB6">
            <w:pPr>
              <w:spacing w:line="240" w:lineRule="auto"/>
              <w:rPr>
                <w:rFonts w:hint="eastAsia" w:ascii="仿宋" w:eastAsia="仿宋"/>
                <w:sz w:val="28"/>
                <w:szCs w:val="28"/>
              </w:rPr>
            </w:pPr>
            <w:r>
              <w:rPr>
                <w:rFonts w:hint="eastAsia" w:ascii="仿宋" w:eastAsia="仿宋"/>
                <w:sz w:val="28"/>
                <w:szCs w:val="28"/>
              </w:rPr>
              <w:t>中国建设银行股份有限公司郑州金水支行（行政区支行个贷中心），郑州市纬五路43号</w:t>
            </w:r>
          </w:p>
        </w:tc>
        <w:tc>
          <w:tcPr>
            <w:tcW w:w="3601" w:type="dxa"/>
          </w:tcPr>
          <w:p w14:paraId="415C0A57">
            <w:pPr>
              <w:spacing w:line="240" w:lineRule="auto"/>
              <w:jc w:val="center"/>
              <w:rPr>
                <w:rFonts w:hint="eastAsia" w:ascii="仿宋" w:eastAsia="仿宋"/>
                <w:sz w:val="28"/>
                <w:szCs w:val="28"/>
              </w:rPr>
            </w:pPr>
            <w:r>
              <w:rPr>
                <w:rFonts w:hint="eastAsia" w:ascii="仿宋" w:eastAsia="仿宋"/>
                <w:sz w:val="28"/>
                <w:szCs w:val="28"/>
              </w:rPr>
              <w:t>郑州市主城区</w:t>
            </w:r>
          </w:p>
        </w:tc>
      </w:tr>
      <w:tr w14:paraId="5F505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835" w:type="dxa"/>
          </w:tcPr>
          <w:p w14:paraId="5D91E2AC">
            <w:pPr>
              <w:spacing w:line="240" w:lineRule="auto"/>
              <w:jc w:val="center"/>
              <w:rPr>
                <w:rFonts w:hint="default" w:ascii="仿宋" w:eastAsia="仿宋"/>
                <w:sz w:val="28"/>
                <w:szCs w:val="28"/>
              </w:rPr>
            </w:pPr>
            <w:r>
              <w:rPr>
                <w:rFonts w:hint="default" w:ascii="仿宋" w:eastAsia="仿宋"/>
                <w:sz w:val="28"/>
                <w:szCs w:val="28"/>
              </w:rPr>
              <w:t>3</w:t>
            </w:r>
          </w:p>
        </w:tc>
        <w:tc>
          <w:tcPr>
            <w:tcW w:w="9481" w:type="dxa"/>
          </w:tcPr>
          <w:p w14:paraId="32825B4E">
            <w:pPr>
              <w:spacing w:line="240" w:lineRule="auto"/>
              <w:rPr>
                <w:rFonts w:ascii="仿宋" w:eastAsia="仿宋"/>
                <w:sz w:val="28"/>
                <w:szCs w:val="28"/>
              </w:rPr>
            </w:pPr>
            <w:r>
              <w:rPr>
                <w:rFonts w:hint="eastAsia" w:ascii="仿宋" w:eastAsia="仿宋"/>
                <w:sz w:val="28"/>
                <w:szCs w:val="28"/>
              </w:rPr>
              <w:t>中国工商银行股份有限公司郑州南阳路支行（个贷营销中心），郑州市南阳路128号附1号</w:t>
            </w:r>
          </w:p>
        </w:tc>
        <w:tc>
          <w:tcPr>
            <w:tcW w:w="3601" w:type="dxa"/>
          </w:tcPr>
          <w:p w14:paraId="064C86FD">
            <w:pPr>
              <w:spacing w:line="240" w:lineRule="auto"/>
              <w:jc w:val="center"/>
              <w:rPr>
                <w:rFonts w:ascii="仿宋" w:eastAsia="仿宋"/>
                <w:sz w:val="28"/>
                <w:szCs w:val="28"/>
              </w:rPr>
            </w:pPr>
            <w:r>
              <w:rPr>
                <w:rFonts w:hint="eastAsia" w:ascii="仿宋" w:eastAsia="仿宋"/>
                <w:sz w:val="28"/>
                <w:szCs w:val="28"/>
              </w:rPr>
              <w:t>郑州市主城区</w:t>
            </w:r>
          </w:p>
        </w:tc>
      </w:tr>
      <w:tr w14:paraId="66188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9" w:hRule="atLeast"/>
        </w:trPr>
        <w:tc>
          <w:tcPr>
            <w:tcW w:w="835" w:type="dxa"/>
            <w:vAlign w:val="center"/>
          </w:tcPr>
          <w:p w14:paraId="6D47C024">
            <w:pPr>
              <w:spacing w:line="240" w:lineRule="auto"/>
              <w:jc w:val="center"/>
              <w:rPr>
                <w:rFonts w:ascii="仿宋" w:eastAsia="仿宋"/>
                <w:sz w:val="28"/>
                <w:szCs w:val="28"/>
              </w:rPr>
            </w:pPr>
            <w:r>
              <w:rPr>
                <w:rFonts w:hint="eastAsia" w:ascii="仿宋" w:eastAsia="仿宋" w:cs="方正小标宋简体"/>
                <w:bCs/>
                <w:sz w:val="28"/>
                <w:szCs w:val="28"/>
              </w:rPr>
              <w:t>说明</w:t>
            </w:r>
          </w:p>
        </w:tc>
        <w:tc>
          <w:tcPr>
            <w:tcW w:w="13082" w:type="dxa"/>
            <w:gridSpan w:val="2"/>
          </w:tcPr>
          <w:p w14:paraId="6578BA45">
            <w:pPr>
              <w:spacing w:line="240" w:lineRule="auto"/>
              <w:ind w:firstLine="560" w:firstLineChars="200"/>
              <w:jc w:val="left"/>
              <w:rPr>
                <w:rFonts w:ascii="仿宋" w:eastAsia="仿宋"/>
                <w:sz w:val="28"/>
                <w:szCs w:val="28"/>
              </w:rPr>
            </w:pPr>
            <w:r>
              <w:rPr>
                <w:rFonts w:hint="eastAsia" w:ascii="仿宋" w:eastAsia="仿宋"/>
                <w:sz w:val="28"/>
                <w:szCs w:val="28"/>
              </w:rPr>
              <w:t>上述商业银行对郑州市主城区楼盘项目发放商业个人住房贷款，可根据《郑州住房公积金管理中心关于商业银行个人住房贷款转住房公积金个人住房贷款有关事项的通知》规定，出具“两函”后，使用公积金直还方式办理商转贷款业务。</w:t>
            </w:r>
          </w:p>
        </w:tc>
      </w:tr>
    </w:tbl>
    <w:p w14:paraId="6FDA85E3"/>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00000000000000000"/>
    <w:charset w:val="86"/>
    <w:family w:val="roman"/>
    <w:pitch w:val="default"/>
    <w:sig w:usb0="00000000" w:usb1="00000000" w:usb2="00000012"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1YmVjNDgwM2QzMDFiM2FmZWFmNDZmOWU5ZDVkNWUifQ=="/>
  </w:docVars>
  <w:rsids>
    <w:rsidRoot w:val="52EC40F3"/>
    <w:rsid w:val="52EC40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Calibri" w:hAnsi="Calibri" w:eastAsia="宋体" w:cs="Arial"/>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2024-09-10T07:44:00Z</dcterms:created>
  <dc:creator>微信用户</dc:creator>
  <cp:lastModifiedBy>微信用户</cp:lastModifiedBy>
  <dcterms:modified xsi:type="dcterms:W3CDTF">2024-09-10T07:45:02Z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E43647F7DF3A47E5B068586583084D1E_11</vt:lpwstr>
  </property>
</Properties>
</file>