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7A311">
      <w:pPr>
        <w:spacing w:line="240" w:lineRule="auto"/>
        <w:jc w:val="left"/>
        <w:rPr>
          <w:rFonts w:hint="eastAsia" w:ascii="仿宋" w:eastAsia="仿宋"/>
          <w:b/>
          <w:sz w:val="28"/>
          <w:szCs w:val="28"/>
          <w:lang w:val="en-US" w:eastAsia="zh-CN"/>
        </w:rPr>
      </w:pPr>
      <w:r>
        <w:rPr>
          <w:rFonts w:hint="eastAsia" w:ascii="仿宋" w:eastAsia="仿宋"/>
          <w:b/>
          <w:sz w:val="28"/>
          <w:szCs w:val="28"/>
          <w:lang w:val="en-US" w:eastAsia="zh-CN"/>
        </w:rPr>
        <w:t>附件</w:t>
      </w:r>
    </w:p>
    <w:tbl>
      <w:tblPr>
        <w:tblStyle w:val="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1"/>
        <w:gridCol w:w="5551"/>
        <w:gridCol w:w="2754"/>
        <w:gridCol w:w="5328"/>
      </w:tblGrid>
      <w:tr w14:paraId="4D3D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4174" w:type="dxa"/>
            <w:gridSpan w:val="4"/>
            <w:tcBorders>
              <w:top w:val="nil"/>
              <w:left w:val="nil"/>
              <w:bottom w:val="nil"/>
              <w:right w:val="nil"/>
            </w:tcBorders>
          </w:tcPr>
          <w:p w14:paraId="5A89E703">
            <w:pPr>
              <w:spacing w:line="240" w:lineRule="auto"/>
              <w:jc w:val="center"/>
              <w:rPr>
                <w:b/>
                <w:sz w:val="32"/>
                <w:szCs w:val="32"/>
              </w:rPr>
            </w:pPr>
          </w:p>
        </w:tc>
      </w:tr>
      <w:tr w14:paraId="3968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174" w:type="dxa"/>
            <w:gridSpan w:val="4"/>
            <w:tcBorders>
              <w:top w:val="nil"/>
              <w:left w:val="nil"/>
              <w:bottom w:val="single" w:color="000000" w:sz="4" w:space="0"/>
              <w:right w:val="nil"/>
            </w:tcBorders>
          </w:tcPr>
          <w:p w14:paraId="4507648D">
            <w:pPr>
              <w:spacing w:line="240" w:lineRule="auto"/>
              <w:jc w:val="center"/>
              <w:rPr>
                <w:rFonts w:hint="eastAsia"/>
                <w:b/>
                <w:sz w:val="28"/>
                <w:szCs w:val="28"/>
              </w:rPr>
            </w:pPr>
            <w:bookmarkStart w:id="0" w:name="_GoBack"/>
            <w:r>
              <w:rPr>
                <w:rFonts w:hint="eastAsia"/>
                <w:b/>
                <w:sz w:val="28"/>
                <w:szCs w:val="28"/>
              </w:rPr>
              <w:t>商转公贷款签约银行一览表（新增）</w:t>
            </w:r>
            <w:bookmarkEnd w:id="0"/>
          </w:p>
        </w:tc>
      </w:tr>
      <w:tr w14:paraId="7512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41" w:type="dxa"/>
            <w:tcBorders>
              <w:top w:val="single" w:color="000000" w:sz="4" w:space="0"/>
            </w:tcBorders>
          </w:tcPr>
          <w:p w14:paraId="7F54DBE5">
            <w:pPr>
              <w:spacing w:line="240" w:lineRule="auto"/>
              <w:jc w:val="center"/>
              <w:rPr>
                <w:rFonts w:ascii="仿宋" w:eastAsia="仿宋"/>
                <w:b/>
                <w:sz w:val="28"/>
                <w:szCs w:val="28"/>
              </w:rPr>
            </w:pPr>
            <w:r>
              <w:rPr>
                <w:rFonts w:hint="eastAsia" w:ascii="仿宋" w:eastAsia="仿宋"/>
                <w:b/>
                <w:sz w:val="28"/>
                <w:szCs w:val="28"/>
              </w:rPr>
              <w:t>序号</w:t>
            </w:r>
          </w:p>
        </w:tc>
        <w:tc>
          <w:tcPr>
            <w:tcW w:w="5551" w:type="dxa"/>
            <w:tcBorders>
              <w:top w:val="single" w:color="000000" w:sz="4" w:space="0"/>
            </w:tcBorders>
          </w:tcPr>
          <w:p w14:paraId="74A27620">
            <w:pPr>
              <w:spacing w:line="240" w:lineRule="auto"/>
              <w:jc w:val="center"/>
              <w:rPr>
                <w:rFonts w:ascii="仿宋" w:eastAsia="仿宋"/>
                <w:b/>
                <w:sz w:val="28"/>
                <w:szCs w:val="28"/>
              </w:rPr>
            </w:pPr>
            <w:r>
              <w:rPr>
                <w:rFonts w:hint="eastAsia" w:ascii="仿宋" w:eastAsia="仿宋"/>
                <w:b/>
                <w:sz w:val="28"/>
                <w:szCs w:val="28"/>
              </w:rPr>
              <w:t>签约银行与业务网点地址</w:t>
            </w:r>
          </w:p>
        </w:tc>
        <w:tc>
          <w:tcPr>
            <w:tcW w:w="2754" w:type="dxa"/>
            <w:tcBorders>
              <w:top w:val="single" w:color="000000" w:sz="4" w:space="0"/>
            </w:tcBorders>
          </w:tcPr>
          <w:p w14:paraId="63AAEB68">
            <w:pPr>
              <w:spacing w:line="240" w:lineRule="auto"/>
              <w:jc w:val="center"/>
              <w:rPr>
                <w:rFonts w:ascii="仿宋" w:eastAsia="仿宋"/>
                <w:b/>
                <w:sz w:val="28"/>
                <w:szCs w:val="28"/>
              </w:rPr>
            </w:pPr>
            <w:r>
              <w:rPr>
                <w:rFonts w:hint="default" w:ascii="仿宋" w:eastAsia="仿宋"/>
                <w:b/>
                <w:sz w:val="28"/>
                <w:szCs w:val="28"/>
              </w:rPr>
              <w:t>支持</w:t>
            </w:r>
            <w:r>
              <w:rPr>
                <w:rFonts w:hint="eastAsia" w:ascii="仿宋" w:eastAsia="仿宋"/>
                <w:b/>
                <w:sz w:val="28"/>
                <w:szCs w:val="28"/>
              </w:rPr>
              <w:t>房屋所在行政区</w:t>
            </w:r>
          </w:p>
        </w:tc>
        <w:tc>
          <w:tcPr>
            <w:tcW w:w="5328" w:type="dxa"/>
            <w:tcBorders>
              <w:top w:val="single" w:color="000000" w:sz="4" w:space="0"/>
            </w:tcBorders>
          </w:tcPr>
          <w:p w14:paraId="7440CC67">
            <w:pPr>
              <w:spacing w:line="240" w:lineRule="auto"/>
              <w:jc w:val="center"/>
              <w:rPr>
                <w:rFonts w:hint="default" w:ascii="仿宋" w:eastAsia="仿宋"/>
                <w:b/>
                <w:sz w:val="28"/>
                <w:szCs w:val="28"/>
              </w:rPr>
            </w:pPr>
            <w:r>
              <w:rPr>
                <w:rFonts w:hint="default" w:ascii="仿宋" w:eastAsia="仿宋"/>
                <w:b/>
                <w:sz w:val="28"/>
                <w:szCs w:val="28"/>
              </w:rPr>
              <w:t>“商转公”业务办理地点</w:t>
            </w:r>
          </w:p>
        </w:tc>
      </w:tr>
      <w:tr w14:paraId="34EC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541" w:type="dxa"/>
            <w:vAlign w:val="center"/>
          </w:tcPr>
          <w:p w14:paraId="21F8FE9F">
            <w:pPr>
              <w:spacing w:line="240" w:lineRule="auto"/>
              <w:jc w:val="center"/>
              <w:rPr>
                <w:rFonts w:hint="default" w:ascii="仿宋" w:eastAsia="仿宋"/>
                <w:sz w:val="28"/>
                <w:szCs w:val="28"/>
              </w:rPr>
            </w:pPr>
            <w:r>
              <w:rPr>
                <w:rFonts w:hint="default" w:ascii="仿宋" w:eastAsia="仿宋"/>
                <w:sz w:val="28"/>
                <w:szCs w:val="28"/>
              </w:rPr>
              <w:t>1</w:t>
            </w:r>
          </w:p>
        </w:tc>
        <w:tc>
          <w:tcPr>
            <w:tcW w:w="5551" w:type="dxa"/>
            <w:vAlign w:val="center"/>
          </w:tcPr>
          <w:p w14:paraId="2A728974">
            <w:pPr>
              <w:spacing w:line="240" w:lineRule="auto"/>
              <w:jc w:val="both"/>
              <w:rPr>
                <w:rFonts w:hint="default" w:ascii="仿宋" w:eastAsia="仿宋"/>
                <w:sz w:val="28"/>
                <w:szCs w:val="28"/>
              </w:rPr>
            </w:pPr>
            <w:r>
              <w:rPr>
                <w:rFonts w:hint="eastAsia" w:ascii="仿宋" w:eastAsia="仿宋"/>
                <w:sz w:val="28"/>
                <w:szCs w:val="28"/>
              </w:rPr>
              <w:t>中国建设银行股份有限公司郑州</w:t>
            </w:r>
            <w:r>
              <w:rPr>
                <w:rFonts w:hint="default" w:ascii="仿宋" w:eastAsia="仿宋"/>
                <w:sz w:val="28"/>
                <w:szCs w:val="28"/>
              </w:rPr>
              <w:t>自贸区支行（郑州市金水区商务外环路与众意路交叉口建行二楼个贷中心）</w:t>
            </w:r>
          </w:p>
        </w:tc>
        <w:tc>
          <w:tcPr>
            <w:tcW w:w="2754" w:type="dxa"/>
            <w:vAlign w:val="center"/>
          </w:tcPr>
          <w:p w14:paraId="12150C5D">
            <w:pPr>
              <w:spacing w:line="240" w:lineRule="auto"/>
              <w:jc w:val="both"/>
              <w:rPr>
                <w:rFonts w:hint="eastAsia" w:ascii="仿宋" w:eastAsia="仿宋"/>
                <w:sz w:val="28"/>
                <w:szCs w:val="28"/>
              </w:rPr>
            </w:pPr>
            <w:r>
              <w:rPr>
                <w:rFonts w:hint="eastAsia" w:ascii="仿宋" w:eastAsia="仿宋"/>
                <w:sz w:val="28"/>
                <w:szCs w:val="28"/>
              </w:rPr>
              <w:t>郑州市主城区</w:t>
            </w:r>
          </w:p>
        </w:tc>
        <w:tc>
          <w:tcPr>
            <w:tcW w:w="5328" w:type="dxa"/>
            <w:vAlign w:val="center"/>
          </w:tcPr>
          <w:p w14:paraId="7D967950">
            <w:pPr>
              <w:spacing w:line="240" w:lineRule="auto"/>
              <w:jc w:val="both"/>
              <w:rPr>
                <w:rFonts w:hint="default" w:ascii="仿宋" w:eastAsia="仿宋"/>
                <w:sz w:val="28"/>
                <w:szCs w:val="28"/>
              </w:rPr>
            </w:pPr>
            <w:r>
              <w:rPr>
                <w:rFonts w:hint="eastAsia" w:ascii="仿宋" w:eastAsia="仿宋"/>
                <w:sz w:val="28"/>
                <w:szCs w:val="28"/>
              </w:rPr>
              <w:t>郑州住房公积金管理中心铁路管理部</w:t>
            </w:r>
            <w:r>
              <w:rPr>
                <w:rFonts w:hint="default" w:ascii="仿宋" w:eastAsia="仿宋"/>
                <w:sz w:val="28"/>
                <w:szCs w:val="28"/>
              </w:rPr>
              <w:t>办事大厅（陇海中路104号附1号）</w:t>
            </w:r>
          </w:p>
        </w:tc>
      </w:tr>
      <w:tr w14:paraId="6D9F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541" w:type="dxa"/>
            <w:vAlign w:val="center"/>
          </w:tcPr>
          <w:p w14:paraId="1CEE8DC9">
            <w:pPr>
              <w:spacing w:line="240" w:lineRule="auto"/>
              <w:jc w:val="center"/>
              <w:rPr>
                <w:rFonts w:hint="default" w:ascii="仿宋" w:eastAsia="仿宋"/>
                <w:sz w:val="28"/>
                <w:szCs w:val="28"/>
              </w:rPr>
            </w:pPr>
            <w:r>
              <w:rPr>
                <w:rFonts w:hint="default" w:ascii="仿宋" w:eastAsia="仿宋"/>
                <w:sz w:val="28"/>
                <w:szCs w:val="28"/>
              </w:rPr>
              <w:t>2</w:t>
            </w:r>
          </w:p>
        </w:tc>
        <w:tc>
          <w:tcPr>
            <w:tcW w:w="5551" w:type="dxa"/>
            <w:vAlign w:val="center"/>
          </w:tcPr>
          <w:p w14:paraId="6A09C7E2">
            <w:pPr>
              <w:spacing w:line="240" w:lineRule="auto"/>
              <w:jc w:val="both"/>
              <w:rPr>
                <w:rFonts w:hint="default" w:ascii="仿宋" w:eastAsia="仿宋"/>
                <w:sz w:val="28"/>
                <w:szCs w:val="28"/>
              </w:rPr>
            </w:pPr>
            <w:r>
              <w:rPr>
                <w:rFonts w:hint="default" w:ascii="仿宋" w:eastAsia="仿宋"/>
                <w:sz w:val="28"/>
                <w:szCs w:val="28"/>
              </w:rPr>
              <w:t>兴业银行股份有限公司郑州分行</w:t>
            </w:r>
            <w:r>
              <w:rPr>
                <w:rFonts w:hint="eastAsia" w:ascii="仿宋" w:eastAsia="仿宋"/>
                <w:sz w:val="28"/>
                <w:szCs w:val="28"/>
              </w:rPr>
              <w:t>（</w:t>
            </w:r>
            <w:r>
              <w:rPr>
                <w:rFonts w:hint="default" w:ascii="仿宋" w:eastAsia="仿宋"/>
                <w:sz w:val="28"/>
                <w:szCs w:val="28"/>
              </w:rPr>
              <w:t>兴业银行郑州分行所属各支行）</w:t>
            </w:r>
          </w:p>
        </w:tc>
        <w:tc>
          <w:tcPr>
            <w:tcW w:w="2754" w:type="dxa"/>
            <w:vAlign w:val="center"/>
          </w:tcPr>
          <w:p w14:paraId="2E675B18">
            <w:pPr>
              <w:spacing w:line="240" w:lineRule="auto"/>
              <w:jc w:val="both"/>
              <w:rPr>
                <w:rFonts w:hint="eastAsia" w:ascii="仿宋" w:eastAsia="仿宋"/>
                <w:sz w:val="28"/>
                <w:szCs w:val="28"/>
              </w:rPr>
            </w:pPr>
            <w:r>
              <w:rPr>
                <w:rFonts w:hint="eastAsia" w:ascii="仿宋" w:eastAsia="仿宋"/>
                <w:sz w:val="28"/>
                <w:szCs w:val="28"/>
              </w:rPr>
              <w:t>郑州市主城区</w:t>
            </w:r>
          </w:p>
        </w:tc>
        <w:tc>
          <w:tcPr>
            <w:tcW w:w="5328" w:type="dxa"/>
            <w:vAlign w:val="center"/>
          </w:tcPr>
          <w:p w14:paraId="7AB8D758">
            <w:pPr>
              <w:spacing w:line="240" w:lineRule="auto"/>
              <w:jc w:val="both"/>
              <w:rPr>
                <w:rFonts w:hint="eastAsia" w:ascii="仿宋" w:eastAsia="仿宋"/>
                <w:sz w:val="28"/>
                <w:szCs w:val="28"/>
              </w:rPr>
            </w:pPr>
            <w:r>
              <w:rPr>
                <w:rFonts w:hint="eastAsia" w:ascii="仿宋" w:eastAsia="仿宋"/>
                <w:sz w:val="28"/>
                <w:szCs w:val="28"/>
              </w:rPr>
              <w:t>市区各政务服务中心住房公积金办事大厅</w:t>
            </w:r>
          </w:p>
        </w:tc>
      </w:tr>
      <w:tr w14:paraId="58636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541" w:type="dxa"/>
            <w:vAlign w:val="center"/>
          </w:tcPr>
          <w:p w14:paraId="1535E7E0">
            <w:pPr>
              <w:spacing w:line="240" w:lineRule="auto"/>
              <w:jc w:val="both"/>
              <w:rPr>
                <w:rFonts w:ascii="仿宋" w:eastAsia="仿宋"/>
                <w:sz w:val="28"/>
                <w:szCs w:val="28"/>
              </w:rPr>
            </w:pPr>
            <w:r>
              <w:rPr>
                <w:rFonts w:hint="eastAsia" w:ascii="仿宋" w:eastAsia="仿宋" w:cs="方正小标宋简体"/>
                <w:bCs/>
                <w:sz w:val="28"/>
                <w:szCs w:val="28"/>
              </w:rPr>
              <w:t>说明</w:t>
            </w:r>
          </w:p>
        </w:tc>
        <w:tc>
          <w:tcPr>
            <w:tcW w:w="13633" w:type="dxa"/>
            <w:gridSpan w:val="3"/>
            <w:vAlign w:val="center"/>
          </w:tcPr>
          <w:p w14:paraId="54CD02E4">
            <w:pPr>
              <w:spacing w:line="240" w:lineRule="auto"/>
              <w:ind w:firstLine="560" w:firstLineChars="200"/>
              <w:jc w:val="both"/>
              <w:rPr>
                <w:rFonts w:hint="eastAsia" w:ascii="仿宋" w:eastAsia="仿宋"/>
                <w:sz w:val="28"/>
                <w:szCs w:val="28"/>
              </w:rPr>
            </w:pPr>
            <w:r>
              <w:rPr>
                <w:rFonts w:hint="eastAsia" w:ascii="仿宋" w:eastAsia="仿宋"/>
                <w:sz w:val="28"/>
                <w:szCs w:val="28"/>
              </w:rPr>
              <w:t>根据《郑州住房公积金管理中心关于商业银行个人住房贷款转住房公积金个人住房贷款有关事项的通知》上述商业银行对郑州市主城区楼盘项目发放商业个人住房贷款，可</w:t>
            </w:r>
            <w:r>
              <w:rPr>
                <w:rFonts w:hint="default" w:ascii="仿宋" w:eastAsia="仿宋"/>
                <w:sz w:val="28"/>
                <w:szCs w:val="28"/>
              </w:rPr>
              <w:t>于</w:t>
            </w:r>
            <w:r>
              <w:rPr>
                <w:rFonts w:hint="eastAsia" w:ascii="仿宋" w:eastAsia="仿宋"/>
                <w:sz w:val="28"/>
                <w:szCs w:val="28"/>
              </w:rPr>
              <w:t>出具“两函”后，</w:t>
            </w:r>
            <w:r>
              <w:rPr>
                <w:rFonts w:hint="eastAsia" w:ascii="仿宋" w:hAnsi="仿宋" w:eastAsia="仿宋" w:cs="仿宋"/>
                <w:sz w:val="28"/>
                <w:szCs w:val="28"/>
              </w:rPr>
              <w:t>使用“公积金直还”方式办理“商转公贷款”业务。</w:t>
            </w:r>
          </w:p>
        </w:tc>
      </w:tr>
    </w:tbl>
    <w:p w14:paraId="4004D5C4"/>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roman"/>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YmVjNDgwM2QzMDFiM2FmZWFmNDZmOWU5ZDVkNWUifQ=="/>
  </w:docVars>
  <w:rsids>
    <w:rsidRoot w:val="33E628CB"/>
    <w:rsid w:val="33E6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2024-10-23T02:55:00Z</dcterms:created>
  <dc:creator>微信用户</dc:creator>
  <cp:lastModifiedBy>微信用户</cp:lastModifiedBy>
  <dcterms:modified xsi:type="dcterms:W3CDTF">2024-10-23T02:56:42Z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022F3BC6CE7D47BCA0AA2A634577422E_11</vt:lpwstr>
  </property>
</Properties>
</file>